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Ульяновской области обратился финансовый управляющий имуществом должника ФИО1 с заявлением о признании недействительными заключенного с ФИО3 договора займа от 17.03.2021 и соглашения об отступном от 17.05.2021; применении последствий недействительности ничтожной сделки в виде возврата в конкурсную массу должника земельного участка и жилого здания. Определением Арбитражного суда Ульяновской области от 30.10.2023, оставленным без изменения постановлением Одиннадцатого арбитражного апелляционного суда от 12.01.2024 и постановлением Арбитражного суда Поволжского округа от 19.03.2024, в удовлетворении заявления отказано.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В представленном на кассационную жалобу отзыве ФИО2 просит отказать в удовлетворении кассационной жалобы, ссылаясь на отсутствие нарушений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отзыва на нее не установлено. Отказывая в удовлетворении заявления, суды руководствовались положениями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наличия совокупности условий, необходимой для признания спорных сделок недействительными по заявленным основаниям. При этом суды не усмотрели оснований для квалификации оспариваемых сделок по общим нормам гражданского законодательства (статьи 10 , 168 , 170 Гражданского кодекса Российской Федерации), поскольку пороки сделок, на наличие которых ссылался финансовый управляющий, не выходили за пределы подозрительных сделок, указанных в статье 61.2 Закона о банкротстве. Доводы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ААУ "Содружество" (подробнее) АО "ЦЕНТР ДОЛГОВОГО УПРАВЛЕНИЯ" (подробнее) Ассоциация "Краснодарская межрегиональная саморегулируемая организация арбитражных управляющих "Единство" (подробнее) АССОЦИАЦИЯ "НАЦИОНАЛЬНАЯ ОРГАНИЗАЦИЯ АРБИТРАЖНЫХ УПРАВЛЯЮЩИХ" (подробнее) ООО "ЦДУ Инвест" (подробнее) ПАО "Сбербанк России" (подробнее) УФНС России по Ульяновской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