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«Компания Модекс-Импорт» обратилось в Арбитражный суд Воронежской области с иском к ПАО «Сбербанк России» о взыскании 13 232 рублей 80 копеек неправомерно списанных денежных средств и 1 231 рубля 83 копеек процентов за ненадлежащее совершение операций по банковскому счету. К участию в деле в качестве третьего лица, не заявляющего самостоятельных требований относительно предмета спора, привлечено ООО «Ровеньки-маслосырзавод». Решением Арбитражного суда Воронежской области от 01.02.2023, оставленным без изменения постановлением Девятнадцатого арбитражного апелляционного суда от 01.09.2023 и постановлением Арбитражного суда Центрального округа от 15.01.2024, в удовлетворении иска отказано. ООО «Компания Модекс-Импорт»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361 , 363 , 421 , 428 , 845 , 854 Гражданского кодекса Российской Федерации, суды пришли к выводу, что действия банка по списанию денежных средств с расчетного счета ответчика с учетом заранее данного акцепта соответствуют условиям соглашения о заранее данном акцепте, договора поручительства, кредитного договора.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"Компания Модекс-Импорт" (подробнее) Ответчики: ПАО Сбербанк (подробнее) Судьи дела: Зарубина Е.Н. (судья) Судебная практика по: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