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2914e 24 fd 36 -6567-4253-9986-3607ed 9 eb0e 9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14.12.2023, на момент обращения заявителя в Верховный Суд Российской Федерации двухмесячный срок, установленный статьей 2911a55c719-cf58-4d99-8da0-dbaea483e228АПК РФ, истек. Положениями части 2 статьи 29164a 6 c373-a 61 d-4502-a0cf- 6 d34443cd 81 a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2912e3c5e6d-d779-44df-9a60-97f236dbefe3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29188c23b63-a564-4672-9b27-5a918fbf5d6fАПК РФ. Руководствуясь статьями 117 , 184 , 185 , 2917da 8 d 6 b 1 - 2 ddc- 4 d0d- 9 fef-045e22152ca 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микрокредитная компания «Денежная Астрея»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Микрокредитная Компания "Денежная Астрея" (подробнее) Ответчики: ПРОКУРАТУРА РЕСПУБЛИКИ КОМИ (подробнее) Прокурор города Вуктыла Вокуев Евгений Альбертович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