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Торговый дом «Транспортные логистические системы» обратилось в Арбитражный суд Тульской области с иском, уточненным в порядке статьи 49 Арбитражного процессуального кодекса Российской Федерации, о взыскании с ООО «Желдор-Транзит» 530 000 рублей штрафа за сверхнормативный простой вагонов. Решением Арбитражного суда Тульской области от 29.06.2023 иск удовлетворен. Постановлением Двадцатого арбитражного апелляционного суда от 08.11.2023 решение суда первой инстанции оставлено без изменения. Арбитражный суд Центрального округа постановлением от 05.02.2024 указанные судебные акты оставил без изменения. ООО «Желдор-Транзит»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спорных вагонов, руководствуясь положениями статей 309, 310, 329, 330, 779, 781 Гражданского кодекса Российской Федерации, суды пришли к выводу об обоснованности иска, не усмотрев оснований для уменьшения подлежащего взысканию штрафа по правилам статьи 333 Гражданского кодекса Российской Федерации. Доводы, изложенные в кассационной жалобе, приводились при рассмотрении дела, были рассмотрены судами и мотивированно отклонены.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