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индивидуального предпринимателя Горлова Алексея Геннадьевича в арбитражный суд обратился финансовый управляющий с заявлением о признании недействительной сделкой договора от 30.06.2020 уступки должником в пользу Галустяна Л.В. прав требования к ООО «Ставград» в размере 3 468 222 рублей 57 копеек по договору подряда, и применении последствий недействительности сделки. К участию в обособленном споре в качестве третьего лица, не заявляющего самостоятельных требований относительно предмета спора, привлечена Безганс Юлия Николаевна. Определением Арбитражного суда Ставропольского края от 31.07.2023 в удовлетворении заявления отказано. Постановлением Шестнадцатого арбитражного апелляционного суда от 02.11.2023 определение суда первой инстанции оставлено без изменения. Арбитражный суд Северо-Кавказского округа постановлением от 17.01.2024 указанные судебные акты оставил без изменения. 2 Финансовый управляющий Шмидт О.А. обратился в Судебную коллегию Верховного Суда Российской Федерации с кассационной жалобой на принятые по обособленному спору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Разрешая спор, суды руководствовались статьей 61.2 Федерального закона от 26.10.2002 № 127-ФЗ «О несостоятельности (банкротстве)», разъяснениями, изложенными в постановлении Пленума Высшего Арбитражного Суда Российской Федерации от 23.12.2010 № 63 «О некоторых вопросах, связанных с применением главы III.1 Федерального закона «О несостоятельности (банкротстве)», и исходили из недоказанности заявителем наличия совокупности обстоятельств, необходимой для признания оспариваемой сделки недействительной как совершенной с целью причинения вреда имущественным правам кредиторов, учитывая, что сделка совершена на рыночных условиях, при наличии равноценного встречного предоставления, наличия у ответчика финансовой возможности на приобретение недвижимого имущества, в результате совершенной сделки вред интересам должника и его кредиторам не причинен, фактическая аффилированность между должником и ответчиком не установлена, отсутствуют основания для признания недействительности сделки по общим гражданским основаниям. Доводы, изложенные в кассационной жалобе, с учетом установленных фактических обстоятельств спора,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3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