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«Красногородская экспериментальная бумажная фабрика» (далее – ОАО «Красногородская экспериментальная бумажная фабрика», Общество, истец) обратилось в Арбитражный суд города Санкт-Петербурга и Ленинградской области с иском к обществу с ограниченной ответственностью «Реформ» (далее – ООО «Реформ», Компания, ответчик, заявитель) о признании расторгнутым договора подряда от 12.04.2021 № 04-1П/2021 на выполнение работ по разработке проекта капитального ремонта части задания (блок 9), расположенного по адресу: 198320, Санкт- Петербург, &lt;...&gt;, лит. В (далее – Договор), о взыскании 411 000 руб. неотработанного аванса, 36 990 руб. неустойки за просрочку выполнения работ, начисленную за период с 27.12.2021 по 18.02.2022, 665 000 руб. в возмещение убытков, 17 751,83 руб. процентов за пользование чужими денежными средствами по состоянию на 20.04.2022. Решением суда первой инстанции от 22.02.2023 иск удовлетворен в части взыскания с Компании в пользу Общества 411 000 руб. неосвоенного аванса, 36 990 руб. неустойки, 665 000 руб. в возмещение убытков, 13 585,33 руб. процентов за пользование чужими денежными средствами, 24 217 руб. в возмещение судебных расходов на уплату государственной пошлины; в остальной части в иске отказано. Постановлением апелляционного суда от 17.07.2023, оставленным без изменения постановлением Арбитражного суда Северо-Западного округа от 26.10.2023, решение от 22.02.2023 изменено, с Компании в пользу Общества взыскано 205 500 руб. неосвоенного аванса, 36 990 руб. неустойки, 665 000 руб. в возмещение убытков, 1 463,84 руб. процентов за пользование чужими денежными средствами, 19 539 руб. в возмещение судебных расходов на уплату государственной пошлины по иску; в остальной части в удовлетворении исковых требований отказано.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неправильно дали толкование положениям статьи 317.1 Гражданского кодекса Российской Федерации (далее – ГК РФ). Компания в апелляционной жалобе и кассационной жалобе указала на то, что предметы Договора и Договора подряда № 15-02/1 от 22.02.2022, заключенного между Обществом и ООО «Зодчий», отличаются по составу работ, эти работы не могут считаться сопоставимыми. По мнению Компании, Договор подряда № 15-02/1 от 22.02.2022 не является замещающей сделкой. По запросу судьи Верховного Суда Российской Федерации от 16.02.2024 дело истребовано из Арбитражного суда города Москвы.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материалов дела, 12.04.2021 Общество (заказчик) и Компания (подрядчик) заключили Договор, по условиям которого подрядчик обязался в пределах общей цены, определенной в соответствии с Договором для выполняемых по Договору работ, и в срок, установленный в Договоре, выполнить своими силами и техническими средствами проектные работы по капитальному ремонту объекта, подлежащие выполнению в соответствии с Договором (далее – работы), в том числе: в соответствии со строительными нормами и правилами, нормами и правилами пожарной безопасности, техническим заданием на проведение проектных работ по капитальному ремонту (приложение № 1 к Договору) (ТЗ) заказчика, ГОСТами, иными действующими техническими регламентами выполнить проектные работы по капитальному ремонту здания (блок 9), расположенного по адресу: 198320, Санкт-Петербург, &lt;...&gt;, лит. В (далее – объект), а заказчик – принять результат выполненных работ и уплатить за него определенную в соответствии с Договором цену в порядке и на условиях, установленных Договором. Надлежащим результатом работ подрядчика по Договору признается законченный подрядчиком, рассмотренный и утвержденный заказчиком проект капитального ремонта объекта (далее – документация). Срок выполнения работ установлен в разделе 2 Договора: срок выполнения работ определяется на основании приложения № 4 к Договору (пункт 2.1); работы должны быть выполнены в установленном законодательством Российской Федерации и Договором порядке и сданы заказчику в сроки, установленные в календарном графике (приложение № 4 к Договору) (пункт 2.2); если указания заказчика или дополнительные работы, поручаемые подрядчику, оказывают влияние на сроки проведения работ по Договору, подрядчик в течение 3-х дней с даты получения от заказчика указаний (в том числе о проведении дополнительных работ) должен письменно уведомить об этом заказчика с указанием возможных сроков переноса. В случае отсутствия письменного уведомления от подрядчика о возможном переносе сроков срок выполнения обязательств по Договору остается неизменным (пункт 2.3). Приложением № 4 к Договору является календарный график выполнения работ, из которого следует, что срок выполнения работ составляет 82 календарных дня, подрядчик обязан передать результат работ заказчику 02.07.2021. Цена и порядок расчетов согласованы сторонами в разделе 3 Договора: общая цена работ по Договору составила 685 000 руб., в том числе НДС 20%114 166,67 руб., и включает в себя следующие этапы: - этап 1. Раздел Архитектурно-строительные решения – 160 000 руб.; - этап 2. Раздел Конструктивные и объемно-планировочные решения в составе двух томов: Том КЖ «Конструкции железобетонные» – 95 000 руб.; Том КМ «Конструкции металлические» - 85 000 руб.; - этап 3. Раздел «Водоснабжение и водоотведение» – 50 000 руб.;- этап 4. Раздел «Отопление» – 50 000 руб.;- этап 5. Обмерные работы – 15 000 руб.; - этап 6. Раздел ПОС с описанием объемов материалов, особенно после демонтажа образуется материал 5 класса, который можно использовать в строительстве, подсыпку и т.д. дополнительно потребуется заказчику оплатить экологическую лабораторию (стоимость можно определить после понимания видом и типов отходов) – 50 000 руб.; - этап 7. ППР-1 (Демонтаж покрытия кровли). В раздел войдут мероприятия по закреплению балок жб, так как сейчас они держатся на покрытии кровли и создается жесткий диск – 35 000 руб.; - этап 8. ППР-2. Конструкции жб. Полный ППР на жб работы по объекту, перекрытия, лестницы и т.д. – 30 000 руб.; - этап 9. ППР-3. Конструкции КМ. Полный ППР на металлические конструкции на объекте – 30 000 руб.; - этап 10. ППР-4. Ограждающие конструкции – 20 000 руб.; - этап 11. Обследование конструкций здания (колонны, балки) с указанием отклонения от первоначальных данных после демонтажа перекрытия – 65 000 руб. (пункт 3.1). Согласно пункту 3.2 оплата по Договору производится в следующем порядке: 3.2.1 В течение 5 банковских дней после подписания Договора заказчик производит выплату авансового платежа № 1 в размере 30% от цены Договора (пункт 3.1), что составляет 205 500 руб., в том числе НДС 20% – 34 250 руб.; 3.2.2 В течение 5 банковских дней после разработки и согласования с заказчиком раздела «Архитектурно-строительные решения» и результатов обмеров (пункт 1 и пункт 2 календарного графика выполнения работ), что подтверждается оформлением промежуточных актов сдачи-приемки этапов выполненных работ, подписанных заказчиком, после чего заказчик производит выплату авансового платежа № 2 в размере 30% от цены работ (пункт 3.1), что составляет 205 500 руб., в том числе НДС 20% – 34 250 руб.; 3.2.3 В течение 5 банковских дней после подписания акта сдачи-приемки выполненных работ производится окончательная оплата по подпункту 1.1.1 Договора в размере 274 000 руб., в том числе НДС 20% – 45 666,67 руб. Права и обязанности подрядчика содержатся в разделе 4 Договора, права и обязанности заказчика – в разделе 5, в частности, принять результаты работ в порядке, предусмотренном разделом 7 (Порядок сдачи-приемки работ) Договора. Приостановка и прекращение работ регламентированы разделом 6 Договора. На основании пункта 6.1 Договора заказчик вправе в любое время до подписания акта сдачи-приемки работ отказаться от исполнения Договора в одностороннем внесудебном порядке, письменно известив об этом подрядчика с указанием даты прекращения действия Договора не менее чем за 10 рабочих дней. В течение 10 дней со дня прекращения действия Договора стороны обязаны составить двусторонний акт о выполненных работах с обязательным указанием фактических затрат (включая НДС) подрядчика и в этот же срок осуществить взаиморасчеты. Разделом 7 Договора регламентирован порядок сдачи-приемки работ.Ответственность сторон предусмотрена в разделе 9 Договора. На основании пункта 9.4 Договора в случаях нарушения сроков выполнения работ (как в целом, так и этапов), сроков начала и окончания работ, предусмотренных Договором, заказчик вправе требовать от подрядчика уплаты пени в размере 0,1% от цены работ за каждый день просрочки, но не более 10% цены работ. Пунктом 9.6 Договора за нарушение сроков устранения недостатков работ предусмотрена выплата пени из расчета 0,1% от цены работ за один календарный день до момента устранения недостатков работ. В соответствии с пунктом 12.2 Договора при выявлении в ходе работ по Договору необходимости и целесообразности внесения изменений и(или) дополнений в его условия, при необходимости корректировки принятой заказчиком документации или по другим причинам, не зависящим от подрядчика, составляются дополнительные соглашения к Договору. Перед началом работ заказчиком 15.04.2021 произведена оплата авансового платежа № 1 (пункт 3.2.1 Договора) в размере 205 500 руб. Подрядчик предоставил раздел Архитектурно-строительные решения (АР), после чего 29.07.2021 была произведена оплата авансового платежа № 2 (пункт 3.2.2 Договора) в размере 205 500 руб. В процессе работы были выявлены неучтенные конструкции на объекте выполнения работ, а именно: был обнаружен бассейн, вследствие чего возникла необходимость в проведении дополнительных работ по обследованию, о чем подрядчик уведомил истца письмом от 29.06.2021 № 69. Общество согласилось с проведением дополнительных работ. Необходимость в проведении дополнительных работ по обследованию обусловила заключение дополнительного соглашения от 30.07.2021 № 1 к Договору. В адрес Компании 13.10.2021 направлена претензия Общества № 203/10 о просрочке выполнения работ. В ответном письме от 14.10.2021 № 68 Компания срок выполнения всех работ по Договору озвучила к концу октября 2021 года со ссылкой на проведение расчетов (гидравлических, теплотехнических); на запрос по предоставлению теплотехнического расчета, расчета загруженности элементов, модели по конструктиву Компания не ответила, соответствующую документацию не предоставила. Общество указало, что результат работ не был сдан заказчику, работы не выполнены. В обоснование заявленных требований Общество указало на невозможность осуществить приемку предоставленных Компанией материалов раздела Конструктивные и объемно-планировочные решения (КР), в связи с отсутствием расчета проектного каркаса здания, а соответственно, и применяемых проектных решений. По мнению Общества, предоставленные разделы проекта не являются полноценными, по ним строительно-монтажные работы не выполнить, отсутствуют необходимые расчеты; в выданном подрядчиком разделе АР не фигурируют материалы, применяемые в ограждающих конструкциях (стенах), а именно (сэндвич панели, газоблок). Разделы Конструкции железобетонные (КЖ) и Конструкции металлические (КМ) в штампе обозначены как стадия Р (рабочая документация), в то время как выданные в них чертежи – стадия П (проект). Чертежи разделов АР, КМ, КЖ оформлены не по ГОСТ Р 21.1101-2013,21.5012011, в них отсутствуют ведомости элементов, узлы, привязки и прочее; нет узлов крепления балок друг с другом и к металлическим и существующим железобетонным колоннам; не предоставлены расчеты выбора сечения балок; нет узлов опирания главных балок на существующие колонны; не показаны фахверки под окна, двери и ворота. Раздел Архитектурно-строительные решения (АР) не может являться предметом приемки в связи с отсутствием необходимой информации и неполноценным оформлением, предусмотренных действующим законодательством. Несоблюдение Компанией условий Договора является причиной невозможности осуществлять строительно-монтажные работы согласно предварительной документации, выданной Компанией, о чем свидетельствует, как полагает Общество, отсутствие подписи заказчика о согласовании на разделе проекте АР. На титульном листе раздела проекта отсутствует дата его утверждения архитектором проекта, инженером проекта и подрядчиком, что является грубым нарушением требований к оформлению проектной документации. Таким образом, Общество полагает, что Компания не выполнила условия Договора. Уведомление от подрядчика о невозможности продолжения работ заказчику не поступало. Исправленный раздел Архитектурно-строительные решения (АР) был выдан подрядчиком 05.10.2021, таким образом, срок выполнения работ был увеличен в два раза и продлен еще на 82 календарных дня начиная с 06.10.2021 по 26.12.2021. Согласно расчету Общества период просрочки подрядчика составил: с 27.12.2021 по 18.02.2022 – 54 дня, неустойка, подлежащая уплате Компанией, рассчитана на дату направления требования (претензии), составила 36 990 руб. (расчет пени: 685 000 руб. х 0,1% х 54 дня просрочки). В направленной 22.02.2022 на адрес электронной почты (пункт 15.21 Договора), а также Почтой России на адрес, указанный в Договоре, претензии от 18.02.2022 № 09/01/02 Общество заявило, в том числе об отказе от принятия работ в связи с тем, что вследствие просрочки подрядчика исполнение утратило интерес для заказчика к получению результата работ, потребовало вернуть полученную предоплату, уплатить начисленную неустойку и возместить заказчику убытки, причиненные неисполнением обязательства. Компания требования претензии не исполнила, посчитав их необоснованными и не подлежащими удовлетворению (ответное письмо от 04.03.2022 № 17), указала на вносимые заказчиком корректировки и изменения в исходные данные для проектирования, на отсутствие согласований заказчиком переданных ему разделов проектной документации, а также отсутствие требования о расторжении Договора, из чего Компания сделала вывод, что проектные работы были надлежащего качества и соответствовали требованиям заказчика, что работа по выполнению проектных работ подлежала продолжению. В связи с неисполнением Компанией обязательства, принятого на себя по Договору, Общество было вынуждено заключить договор подряда от 22.02.2022 № 15-02/1 на выполнение не выполненных Компанией работ по разработке проекта капитального ремонта части здания (блок 9) с иным лицом (ООО «Зодчий»), общая цена работ по которому составила 1 350 000 руб. Разница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составила 665 000 руб. – указанная сумма, по мнению истца, является убытками Общества в силу пункта 1 статьи 393.1 ГК РФ . Поскольку реализованный истцом досудебный порядок урегулирования спора не принес положительного результата, Общество обратилось в суд с настоящим иском. Суд первой инстанции, исследовав и оценив по правилам статей 9 , 65 , 68 , 71 АПК РФ представленные в материалы дела доказательства, руководствуясь статьями 309 - 310 , 328 , 330 , 393.1 , 395 , 450.1 , 453 , 715 - 716 , 719 , 753 , 758 , 762 , 1102 ГК РФ ,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частично удовлетворил требования истца. При этом суд первой инстанции исходил из подтвержденного материалами дела факта перечисления ответчику аванса на спорную сумму, расторжения договора в связи с отказом заказчика от его исполнения и отсутствия надлежащих доказательств выполнения работ по договору либо возврата перечисленных денежных средств. Установив, что истец заключил замещающую сделку (договор с ООО «Зодчий») на сумму 1 350 000 руб., а ответчик не представил каких-либо возражений по данному договору, суд первой инстанции признал обоснованным требование Общества о взыскании заявленных убытков. Повторно исследовав и оценив представленные доказательства, руководствуясь теми же нормами права, а также статьями 718 , 759 ГК РФ , правовой позицией, изложенной в Обзоре судебной практики Верховного Суда Российской Федерации № 2 (2018), утвержденном Президиумом Верховного Суда Российской Федерации 04.07.2018, суд апелляционной инстанции изменил решение суда первой инстанции. Апелляционная инстанция указала, что удовлетворяя в полном объеме требование о взыскании неотработанного аванса, суд первой инстанции не учел, что договором предусмотрено 11 этапов работ, и каждый из указанных этапов в качестве подэтапа содержит указание на согласование результат этапа с заказчиком. В материалы дела представлены акты о приемке заказчиком без замечаний результата работ по разделу «Архитектурно-строительные решения». В пункте 3.1 Договора выделены как каждый из 11 этапов работ, так и согласована стоимость каждого из них. Выплата второго авансового платежа по подпункту 3.2.2 Договора в сумме 205 500 руб., в том числе НДС 20% – 34 250 руб., была обусловлена разработкой и согласованием с заказчиком раздела «Архитектурностроительные решения» и результатов обмеров (пункт 1 и пункт 2 календарного графика выполнения работ), подтвержденных оформлением промежуточных актов сдачи-приемки этапов выполненных работ, подписанных заказчиком. Исходя из того, что второй авансовый платеж был перечислен истцом на расчетный счет ответчика, апелляционный суд пришел к выводу о том, что заказчик посчитал соответствующую часть работ выполненной подрядчиком в полном объеме и без замечаний. Таким образом, оснований для удовлетворения требования ОАО «Красногородская экспериментальная фабрика» о взыскании с ООО «Реформ» в качестве неосновательного обогащения 205 500 руб. у суда первой инстанции не имелось. В остальной части апелляционная инстанция согласилась с выводами суда первой инстанции. Суд округа поддержал позицию суда апелляционной инстанции. Отклоняя доводы Компании о неправомерном взыскании убытков, суды исходили из следующего. Добросовестность кредитора и разумность его действий при заключении замещающей сделки предполагаются (пункт 5 статьи 10 , пункт 3 статьи 307 , статья 393.1 ГК РФ ). Должник вправе представить доказательства того, что кредитор действовал недобросовестно и(или) неразумно и, заключая замещающую сделку,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(пункт 1 статьи 404 ГК РФ ). Например, должник вправе представлять доказательства чрезмерного несоответствия цены замещающей сделки текущей цене, определяемой на момент ее заключения по правилам пункта 2 статьи 393.1 ГК РФ . Соответствующие доказательства не были представлены ответчиком на момент обращения истца с иском в суд, как и мотивированные возражения по требованию истца, не представлены соответствующие расчеты с доказательствами, не оспорен размер убытков. Доводы заявителя о том, что договор подряда № 15-02/1 от 22.02.2022 не является замещающей сделкой не нашли своего подтверждения по материалам истребованного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«Реформ»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ОАО "КРАСНОГОРОДСКАЯ ЭКСПЕРИМЕНТАЛЬНАЯ БУМАЖНАЯ ФАБРИКА" (подробнее) Ответчики: ООО "Реформ" (подробнее) Судьи дела: Чучунова Н.С. (судья) (подробнее)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