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Ворониной Ф.Р. в Арбитражный суд Республики Башкортостан обратился опекун Воронин Д.Н. в интересах недееспособного должника с заявлениями о признании недействительным и незаключенным ввиду безденежности договора займа от 30.05.2016 в форме расписки на сумму 7 200 000 рублей между должником и Кутлубаевым Р.Г. и применении последствий недействительности сделки. Определением Арбитражного суда Республики Башкортостан от 14.07.2023, оставленным без изменения постановлением Восемнадцатого арбитражного апелляционного суда от 18.09.2023 и постановлением Арбитражного суда Уральского округа от 25.12.2023, в удовлетворении заявлений отказано. Воронин Д.Н.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заявлений, суды руководствовались статьями 181, 199 Гражданского кодекса Российской Федерации и исходили из установленных судами общей юрисдикции обстоятельств, являющихся преюдициальными для рассмотрения настоящего спора, о реальности заемных отношений, а также из того, что Воронин Д.Н. обратился в суд с оспариванием сделки за пределами общего срока исковой давности.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