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- ИП ФИО1, Предприниматель, истец, заявитель) обратился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«ЛП» (далее – ООО «ЛП», Общество), о взыскании 635 706,93 руб. процентов за пользование чужими денежными средствами за период с 13.02.2017 по 07.02.2018 по предварительному договору купли-продажи жилого помещения, начисленных на основании пункта 2 статьи 9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317 853,46 руб. штрафа на основании части 6 статьи 13 Закона Российской Федерации от 07.02.1992 № 2300-1 «О защите прав потребителей», 1 931 410,14 руб. процентов за пользование чужими денежными средствами начисленных на основании пункта 6 статьи 9 Закона № 214-ФЗ за период с 20.06.2015 по 07.02.2017. К участию в деле в качестве третьих лиц, не заявляющих самостоятельных требований относительно предмета спора, привлечены ФИО2 и ФИО3. Решением Арбитражного суда города Санкт-Петербурга и Ленинградской области от 10.12.2018, оставленным без изменения постановлением Тринадцатого арбитражного апелляционного суда от 01.04.2019 и постановлением Арбитражного суда Северо-Западного округа от 16.07.2019, иск удовлетворен. От Предпринимателя в суд поступило заявление о взыскании с Общества 77 364,74 руб. (с учетом уточнения) в счет индексации денежной суммы, присужденной решением суда от 10.12.2018. Определением Арбитражного суда города Санкт-Петербурга и Ленинградской области от 15.04.2022, оставленным без изменения постановлением Тринадцатого арбитражного апелляционного суда от 08.06.2023, в удовлетворении заявления Предпринимателя отказано. Постановлением Арбитражного суда Северо-Западного округа от 18.10.2023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норм материального и процессуального права. Письмом судьи Верховного Суда Российской Федерации от 12.02.2024 дело истребовано из Арбитражного суда города Санкт-Петербурга и Ленинградской области для проверки доводов жалобы по его материалам.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Проверив доводы кассационной жалобы, изучив материалы истребованного дела, суд не находит оснований для передачи кассационной жалобы для рассмотрения в судебном заседании Судебной коллегии Верховного Суда Российской Федерации. Отказывая в удовлетворении заявления Предпринимателя, суды первой и апелляционной инстанций, с выводами которых впоследствии согласился суд округа, исследовали и оценили по правилам статей 9 , 65 , 68 , 71 АПК РФ представленные в материалы дела доказательства, руководствовались статьей 183 АПК РФ , статьей 395 Гражданского кодекса Российской Федерации (далее – ГК РФ) и исходили из того, что в данном конкретном случае с учетом активного использования кредитором всех возможных способов восстановления своей имущественной сферы, пострадавшей в связи с несвоевременным исполнением должником денежного обязательства, не усматривается оснований считать, что Предприниматель понес такие имущественные потери, которые подлежат компенсации с применением предусмотренного статьей 183 АПК РФ механизма.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ИП Тенишев Тимур Рашидович (подробнее) Ответчики: ООО "ЛП"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