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Калашника Александра Александровича в Арбитражный суд города Москвы обратился финансовый управляющий Теремецкий В.А. с заявлением о взыскании солидарно с ранее назначенного арбитражного управляющего Симанова М.А. и ПАО «Банк ВТБ» 16 167 533 рублей 27 копеек убытков в связи со снятием должником денежных средств со счета в банке. Определением Арбитражного суда города Москвы от 30.08.2023, оставленным без изменения постановлением Девятого арбитражного апелляционного суда от 02.11.2023 и постановлением Арбитражного суда Московского округа от 23.01.2024, в удовлетворении заявления отказано. Герасов П.В.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статей 20.3, 20.4 60 Федерального закона от 26.10.2002 № 127-ФЗ «О несостоятельности (банкротстве)», статьями 15, 393 Гражданского кодекса Российской Федерации и пришли к выводу о том, что ввиду отсутствия денежных средств на счете банка приходно-расходные операции по счету должника в спорный период на указанную заявителем сумму не производились, в связи с чем убытки, причиненные конкурсной массе должника, отсутствуют.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