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Гудзенчука Евгения Васильевича в Арбитражный суд города Москвы обратился должник с заявлением об исключении квартиры из конкурсной массы. Определением Арбитражного суда города Москвы от 08.09.2023, оставленным без изменения постановлением Девятого арбитражного апелляционного суда от 03.11.2023 и постановлением Арбитражного суда Московского округа от 23.01.2024, заявление удовлетворено. Конкурный управляющий ООО КБ «Интеркоммерц» – ГК «АСВ» обратилась в Судебную коллегию по экономическим спорам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Удовлетворяя заявление должника и исключая спорный объект недвижимости из конкурсной массы, суды руководствовались положениями статей 60, 213.25 Федерального закона от 26.10.2002 № 127-ФЗ «О несостоятельности (банкротстве)», статьей 446 Гражданского процессуального кодекса Российской Федерации, разъяснениями, изложенными в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исходили из того, что квартира является единственным пригодным для проживания должника и членов его семьи жильем, не является роскошным, недобросовестных действий должником не совершалось, доказательств того, что использование спорной квартиры превышает разумную потребность должника и членов его семьи в жилище, не представлено.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