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«Синэк 2000» (далее – Общество) обратилось в Арбитражный суд города Москвы с исковым заявлением к Правительству Москвы (далее – Правительство), Департаменту городского имущества города Москвы (далее – Департамент) о взыскании 740 597 141 рубля убытков.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ФИО1 (далее – Предприниматель). Решением Арбитражного суда города Москвы от 05.06.2023, оставленным без изменения постановлением Девятого арбитражного апелляционного суда от 22.08.2023 и постановлением Арбитражного суда Московского округа от 11.12.2023,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существенное нарушение судами норм материального и процессуального права. В обоснование доводов жалобы заявитель указывает, что у суда отсутствовали основания для отказа в удовлетворении требований, так как спорные помещения не были переданы Обществу в надлежащий срок из-за бездействия Правительства.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15.11.2019 подписан акт о результатах частичной реализации инвестиционного контракта от 26.01.2001 № ДМЖ.01.ЮЗАО.00218, пунктом 10 которого установлено, что у Правительства образовался долг перед Обществом по передаче 3206, 24 кв. м помещений, который должен быть компенсирован в денежном выражении. Вступившим в законную силу решением Арбитражного суда города Москвы от 31.05.2018 по делу № А40-53971/2016 установлено, что конкретное недвижимое имущество (его площадь), подлежащее передаче в собственность сторон по итогам реализации инвестиционного проекта, определяется на основании акта о результатах реализации инвестиционного проекта после ввода объекта в эксплуатацию, а также, что объекты, инвестирование которых осуществлялось за счет средств Общества, приняты в эксплуатацию с 29.11.2002 по 30.07.2004. Указанным судебным актом также установлено бездействие Департамента, уполномоченного на подготовку и направление проектов актов о результатах реализации инвестиционных проектов, в результате чего проект акта был направлен Обществу лишь 11.01.2016. Таким образом, по мнению Общества, установлен факт того, что оно не уклонялось от подписания акта, а в случае его своевременного направления истец имело бы право на положенную площадь – 3206,24 кв. м не позднее, чем в 2004 году. Общество полагает, что длительное бездействие Правительства и Департамента повлекло к причинению ущерба в размере 740 597 141 рубль, определенного, исходя из рыночной стоимости недвижимости в период введения объекта в эксплуатацию, помноженной на коэффициенты ежегодного увеличения стоимости недвижимости в условиях конкурентного рынка (индексация цен на недвижимость) за вычетом 189 543 290 рублей, уплаченных Правительством на основании вступившего в законную силу постановления Арбитражного суда Московского округа от 12.04.2022 по делу № А40-85138/2021. Судами при рассмотрении настоящего дела установлено, что акт о реализации инвестиционного проекта по контракту от 26.01.2001 № ДМЖ.01.ЮЗАО.00218 подписан на условиях, определенных решением Арбитражного суда города Москвы от 31.05.2018 по делу № А40-53971/2016, в том числе с условием об определении компенсации, установленной в отношении истца в размере 189 543 290 рублей за 3206,24 кв. м. Определением Арбитражного суда города Москвы от 10.08.2021 по делу № А40-53971/2016 произведена замена истца на правопреемника – Предпринимателя на основании договора уступки прав требований от 07.08.2021. Постановлением Арбитражный суд Московского округа от 12.04.2022 по делу № А40-85138/2021 удовлетворены требования Предпринимателя о взыскании с Правительства 189 543 290 рублей; присужденная сумма компенсации выплачена 09.06.2022 в соответствии с положениями ст. 242.2 Бюджетного кодекса Российской Федерации. Ссылаясь на то, что длительная непередача по вине ответчиков недвижимого имущества лишила возможности получать соответствующий доход,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10 , 15 , 393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признав недоказанной необходимую совокупность условий для взыскания убытков, отметив, что бездействие Общества и непринятие мер для уменьшения размера возможных убытков не может быть признано соответствующим критерию разумности действий участников гражданского оборота, тогда как само по себе возмещение за неполученную по инвестиционному контракту площадь в 2022 по рыночной стоимости, определенной по состоянию на 2017 год, не является достаточным основанием для удовлетворения требований.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«Сибинтертрейд»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"СИНЭК 2000" (подробнее) Ответчики: Высший исполнительный орган государственной власти города Москвы-Правительство Москвы (подробнее) Департамент городского имущества города Москвы (подробнее) Департамент финансов города Москвы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