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27.09.2022, оставленным без изменения постановлением Десятого арбитражного апелляционного суда от 13.12.2022, процедура реализации имущества ФИО1 и ФИО2 завершена с освобождением должников от дальнейшего исполнения требований кредиторов, в том числе требований, не заявленных в ходе проведения процедуры банкротства. Постановлением Арбитражного суда Московского округа от 10.03.2023 указанные судебные акты отменены в части освобождения ФИО1 от дальнейшего исполнения требований кредиторов, в отмененной части обособленный спор направлен на новое рассмотрение в суд первой инстанции. При новом рассмотрении определением Арбитражного суда Московской области от 13.07.2023 в отношении ФИО1 не применено правило об освобождении должника от дальнейшего исполнения требований кредиторов. Постановлением Десятого арбитражного апелляционного суда от 05.10.2023 определение суда первой инстанции отменено и ФИО1 освобождена от дальнейшего исполнения требований кредиторов, в том числе требований, не заявленных в ходе проведения процедуры банкротства. Арбитражный суд Московского округа постановлением от 17.01.2024 отменил постановление суда апелляционной инстанции и оставил в силе определение суда первой инстанции. ФИО1 и ФИО2 обратились в Судебную коллегию Верховного Суда Российской Федерации с кассационными жалобами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 первой инстанции пришел к выводу о недоказанности наличия обстоятельств, позволяющих признать ФИО1 добросовестной и освободить ее от исполнения обязательств перед кредиторами. Окружной суд согласился с выводами суда первой инстанции.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Ассоциация СРО "ЦААУ" (подробнее) ЗАО АКЦИОНЕРНЫЙ КОММЕРЧЕСКИЙ БАНК "СЛАВИЯ" (подробнее) ООО "ЭЛИКРИН" (подробнее) Иные лица: Ф/У Гравовой Т.Н. - Гарманов С.Г.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