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кассационное производство завершено, ходатайство о приостановлении исполнения судебного акта не подлежит рассмотрению по существу. Руководствуясь статьями 2916, 2918 Арбитражного процессуального 2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«Северо-Кавказский Завод Металлоконструкций»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