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«Рен Инн Мед» (далее – Общество) обратилось в Арбитражный суд города Москвы с исковым заявлением к ФИО1 о взыскании 151 192 253 рублей 95 копеек убытков. Решением Арбитражного суда города Москвы от 07.04.2023, оставленным без изменения постановлением Девятого арбитражного апелляционного суда от 13.09.2023 и постановлением Арбитражного суда Московского округа от 18.12.2023,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выводы судов о правомерной выплате спорной суммы основаны на ненадлежащих доказательствах, в отношении которых истцом было заявлено о фальсификации, что оставлено судебными инстанциями без должной правовой оценки.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требования Общества мотивированы тем, что ФИО1 являлся генеральным директором истца с момента создания и до 01.09.2022. Начиная с июня 2019, ответчик необоснованно выплачивал себе заработную плату и премии, а также производил налоговые отчисления в бюджет, чем причинил истцу убытки в общей сумме 151 192 253 рубля 95 копеек, из которых: переплата заработной платы (без НДФЛ) – 19 331 800 рублей; выплата премий (без НДФЛ) – 93 878 300 рублей; переплата по НДФЛ – 17 849 900 рублей; переплата страховых взносов – 20 132 253 рубля 95 копеек.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 Российской Федерации, руководствуясь названными выше положениями действующего законодательства, регулирующими спорные отношения, суды отказали в удовлетворении заявленных требования,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Судебные инстанции приняли во внимание представленные в материалы дела копии протоколов общих собраний участников Общества от 18.07.2005 № 1, от 23.03.2007 № 2, от 20.04.2007 № 3, от 18.05.2007 № 4, от 12.12.2008 № 5, от 17.12.2009 № 6, от 18.07.2010 № 7, от 17.02.2014 № 8, от 17.07.2015 № 9, от 05.10.2015 № 10; решения единственного участника от 27.03.2017 № 11, от 03.07.2017 № 12, которыми утверждено положение о премировании всех работников, включая ответчика. Из содержания реестров суды установили, что заработная плата ФИО2 и ФИО1 увеличивалась одновременно, премии выплачивались одновременно и всем сотрудникам. Суды отклонили заявление о фальсификации доказательств, указав, что нахождение оригиналов документов у ответчика, покинувшего должность единоличного исполнительного органа Общества, не предполагается; при разрешении спора не были представлены внутренние документы, регулирующие вопросы системы оплаты труда.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«Рен Инн Мед»для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"РЕН ИНН МЕД" (подробнее) Иные лица: ПАО "Сбербанк России"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