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Иванов Александр Владимирович обратился в Арбитражный суд Чувашской Республики - Чувашии с иском, уточненным в порядке статьи 49 Арбитражного процессуального кодекса Российской Федерации, о взыскании с ИП Осиповой Т.А. 10 000 рублей задолженности по провозной плате по договору-заявке № 6 от 03.03.2022, 1 263 рублей 28 копеек неустойки, 18 150 рублей реального ущерба, составляющего стоимость хранения груза, 24 657 рублей 28 копеек упущенной выгоды. К участию в деле в качестве третьих лиц, не заявляющих самостоятельных требований относительно предмета спора, привлечены ООО Центр Движения «Прогресс», ИП Леухина Татьяна Викторовна. Решением Арбитражного суда Чувашской Республики – Чувашии от 18.07.2023, оставленным без изменения постановлением Первого арбитражного апелляционного суда от 29.09.2023, в удовлетворении иска отказано. Арбитражный суд Волго-Вятского округа постановлением от 13.02.2024 указанные судебные акты отменил и направил дело на новое рассмотрение в Арбитражный суд Чувашской Республики-Чувашии. ИП Осипова Т.А.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