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Васильева И.А. в арбитражный суд обратился должник с заявлением о признании обязательства перед НП «Новые Вешки» в размере 632 877 рублей 33 копеек общим обязательством супругов – его и Васильевой Наталии Валентиновны в равных долях по 316 438 рублей 67 копеек, взыскании с Васильевой Н.В. в конкурсную массу должника 316 438 рублей 67 копеек. Определением Арбитражного суда Московской области 02.08.2023, оставленным без изменения постановлением Десятого арбитражного апелляционного суда от 19.10.2023 и постановлением Арбитражного суда Московского округа от 17.01.2024, в удовлетворении заявления отказано. Васильев И.А.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35, 45 Семейного кодекса Российской Федерации, статьями 213.25, 213.26 Федерального закона от 26.10.2002 № 127-ФЗ «О несостоятельности (банкротстве)», разъяснениями, изложенными в абзаце первом пункта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и, учитывая, что задолженность образовалась в результате несоблюдения должником, являющимся членом НП «Новые Вешки», положений устава партнерства, пришли к выводу об отсутствии оснований для признания спорной задолженности общим обязательством супругов. Доводы заявителя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