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«Мултон Партнерс» обратилось в Арбитражный суд Нижегородской области с иском о взыскании с ООО «Олива-Транс» 4 496 496 рублей 18 копеек убытков. К участию в деле в качестве третьих лиц, не заявляющих самостоятельных требований относительно предмета спора, привлечены ООО «АСТК», ООО «Еврологистик». Решением Арбитражного суда Нижегородской области от 11.05.2023, оставленным без изменения постановлением Первого арбитражного апелляционного суда от 14.08.2023, иск удовлетворен. Арбитражный суд Волго-Вятского округа постановлением от 06.02.2024 указанные судебные акты изменил, взыскав 4 475 367 рублей 18 копеек убытков. ООО «Еврологистик» и ООО «Олива-Транс»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удержания груза истца на станции выгрузки привлеченными для перевозки ответчиком (экспедитором) третьими лицами, руководствуясь положениями статей 15, 393, 801 Гражданского кодекса Российской Федерации, суды пришли к выводу об обоснованности иска, признав не пропущенным срок исковой давности.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