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о взыскании 500 000 рублей. Решением Арбитражного суда Свердловской области от 02.08.2023 в удовлетворении требований отказано. Постановлением Семнадцатого арбитражного апелляционного суда от 24.10.2023, оставленным без изменения постановлением Арбитражного суда Уральского округа от 30.01.2024, решение от 02.08.2023 отменено, иск удовлетворен.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30.01.2024, тогда как кассационная жалоба поступила в Верховный Суд Российской Федерации 11.04.2024,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постановление Семнадцатого арбитражного апелляционного суда от 24.10.2023 и постановление Арбитражного суда Уральского округа от 30.01.2024 по делу № А60-61821/2022 Арбитражного суда Свердловской области восстановить. Судья Верховного СудаРоссийской Федерации Н.С. Чучунова Суд: Верховный Суд РФ (подробнее) Истцы: ИП Шайхалиев Радмир Фанилевич (подробнее) Судьи дела: Чучунова Н.С. (судья) (подробнее) Последние документы по делу: Определение от 11 июня 2024 г. по делу № А60-61821/2022 Определение от 16 апреля 2024 г. по делу № А60-61821/2022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