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города Москвы с исковым заявлением к ФИО1 о взыскании в порядке субсидиарной ответственности 2 222 608 рублей 63 копеек по обязательствам общества с ограниченной ответственностью «МСК». Решением Арбитражного суда города Москвы от 07.06.2023, оставленным без изменения постановлением Девятого арбитражного апелляционного суда от 04.09.2023 и постановлением Арбитражного суда Московского округа от 12.12.2023,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12.12.2023, тогда как кассационная жалоба поступила в Верховный Суд Российской Федерации 16.02.2024,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Москвы от 07.06.2023, постановление Девятого арбитражного апелляционного суда от 04.09.2023 и постановление Арбитражного суда Московского округа от 12.12.2023 по делу № А40-26545/2023 восстановить. Судья Верховного СудаРоссийской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