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ПАО «Татфондбанк» в лице государственной корпорации «Агентство по страхованию вкладов» обратилось в Арбитражный суд Воронежской области с заявлением о признании несостоятельной (банкротом) Скляр Т.М. Определением Арбитражного суда Воронежской области от 29.03.2022 требование банка признано обоснованным; в отношении должника введена процедура реструктуризации долгов с установлением требований в размере 1 193 977 рублей 87 копеек основного долга, 1 304 185 рублей 87 копеек неустойки и 6 557 рублей 03 копеек расходов по уплате государственной пошлины как обеспеченных залогом имущества должника. Постановлением Девятнадцатого арбитражного апелляционного суда от 06.07.2023 определение суда первой инстанции изменено в части установления требований банка; в третью очередь реестра требований кредиторов должника включены требования банка в размере 847 420 рублей 67 копеек основного долга, 487 832 рублей неустойки, как обеспеченные залогом имущества должника; в остальной части определение суда первой инстанции оставлено без изменения. Арбитражный суд Центрального округа постановлением от 29.01.2024 оставил без изменения постановление суда апелляционной инстанции. 2 Скляр Т.М. обратилась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При принятии судебных актов суды руководствовались статьями 134, 138, 213.3, 213.4, 213.5, 213.6 Федерального закона от 26.10.2002 № 127-ФЗ «О несостоятельности (банкротстве)» и исходили из обоснованности требований, заявленных банком и подтвержденных вступившими в законную силу судебными актами суда общей юрисдикции, отсутствия доказательств погашения задолженности, что свидетельствует о неплатежеспособности должника, признав требования заявителя подлежащими включению в реестр требований кредиторов должника в составе третьей очереди, как обеспеченные залогом имущества должника, учитывая, что на момент рассмотрения дела предметы залога не утрачены, доказательства прекращения залога не представлены. Проверив расчет суммы долга, суд апелляционной инстанции установил, что задолженность должника перед банком составляет 847 420 рублей 67 копеек основного долга и 487 832 рубля неустойки (размер неустойки снижен апелляционным судом на основании 333 Гражданского кодекса Российской Федерации). Доводы жалобы не свидетельствуют о неправильном применении судами норм материального и процессуального права и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3</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