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здравоохранения Новосибирской области (далее – Министерство, истец, заявитель) обратилось в Арбитражный суд Новосибирской области с иском к обществу с ограниченной ответственностью «Седьмая концессионная компания» (далее – ООО «Седьмая концессионная компания», Общество, ответчик) о взыскании неустойки в размере 54 600 000 руб. К участию в деле в качестве третьего лица, не заявляющего самостоятельных требований относительно предмета спора, привлечено государственное бюджетное учреждение Новосибирской области «Государственная вневедомственная экспертиза Новосибирской области». Решением Арбитражного суда Новосибирской области от 02.06.2023, оставленным без изменения постановлением Седьмого арбитражного апелляционного суда от 15.08.2023, исковые требования удовлетворены частично, с ответчика в пользу истца взыскано 600 000 руб. штрафа, в остальной части в удовлетворении исковых требований отказано. 2 Постановлением Арбитражного суда Западно-Сибирского округа от 13.12.2023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ошибочно применили по аналогии к спорным правоотношениям Федеральный закон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постановление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(далее – Правила № 1042); при уменьшении размера неустойки судами неверно квалифицирована неустойка как единовременно выплачиваемый штраф, а не регулярно начисляемая пеня; судами сделан немотивированный вывод о чрезмерно высоком размере начисленной неустойки; неустойка снижена ниже предела, установленного пунктом 1 статьи 395 Гражданского кодекса Российской Федерации (далее – ГК РФ).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Министерством (публичный партнер) и ООО «Седьмая концессионная компания» (частный партнер) заключено соглашение о государственно-частном партнерстве от 15.02.2019 (с дополнительными соглашениями) по проектированию, строительству, осуществлению эксплуатации и технического обслуживания объекта соглашения, предназначенного для оказания первичной медико-санитарной помощи, в том числе по поликлинике № 13, поликлинике № 18, поликлинике № 16. 3 В соответствии с пунктом 14.1 соглашения частный партнер обязан разработать проектную документацию в соответствии с согласованным публичным партнером заданием на проектирование и обеспечить получение положительного заключения государственной экспертизы в отношении такой проектной документации в сроки, предусмотренные Графиком реализации инвестиционного этапа. 22.07.2021 сторонами было заключено дополнительное соглашение № 4, увеличивающее сроки получения положительного заключения государственной экспертизы и разрешения на строительство, согласно которому положительное заключение государственной экспертизы в отношении проектной документации по указанным объектам должно было быть получено не позднее 01.09.2021, разрешение на строительство – в течение одного месяца с даты получения положительного заключения государственной экспертизы в отношении проектной документации. Разрешение на строительство по указанным объектам должно было быть получено не позднее 01.10.2021. Согласно пункту 14.2 соглашения (в редакции дополнительного соглашения № 4 от 22.07.2021) после получения положительного заключения государственной экспертизы в отношении проектной документации частный партнер направляет такую документацию на согласование публичному партнеру. В соответствии с приложением 1 к приложению № 10 «Штрафные баллы» к соглашению определены нарушения, при наличии которых начисляются штрафные баллы и их количество: за неполучение положительного заключения государственной экспертизы в отношении проектной документации в установленные соглашением сроки предусмотрено начисление 200 штрафных баллов за каждый день просрочки; за отсутствие разрешений необходимых для осуществления строительства – начисление 50 штрафных баллов за каждый день просрочки по каждому из случаев. В соответствии с пунктом 1.2 приложения № 10 «Штрафные баллы» к соглашению денежный эквивалент одного штрафного балла равен 1 000 руб. в ценах 2018 года. Положительное заключение государственной экспертизы по поликлинике № 13 получено 12.11.2021 (с просрочкой в 72 дня), по поликлинике № 18 – 07.10.2021 (с просрочкой 36 дней), по поликлинике № 16 – 11.11.2021 (с просрочкой 71 день). Разрешение на строительство по поликлинике № 13 получено 01.12.2021, по поликлинике № 18– 22.11.2021, по поликлинике № 16 – 02.12.2021. В связи с нарушением сроков по соглашению истец претензией от 06.05.2022 потребовал от ответчика уплаты неустойки в сумме 54 600 000 руб., исходя из эквивалента одного штрафного балла 1 312,40 руб. Неисполнение ООО «Седьмая концессионная компания» требований претензии послужило основанием для обращения Министерства в арбитражный суд с настоящим иском. 4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309-310, 329-330, 333, 401, 405-406, 421-422, 702, 708 ГК РФ, Законом о контрактной системе, Правилами № 1042, разъяснениями, изложенными в постановлении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в постановлении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правовой позицией, изложенной в Обзоре судебной практики Верховного Суда Российской Федерации № 2 (2017), утвержденном Президиумом Верховного Суда Российской Федерации 26.04.2017, установив факт допущенных Обществом нарушений соглашения, правомерности начисления неустойки исходя из эквивалента одного штрафного балла 1 000 руб. и наличия оснований для снижения начисленной неустойки, частично удовлетворили иск.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здравоохранения Новосибирской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