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Решетникова Елена Викторовна обратилась в Арбитражный суд Омской области с иском, уточненным в порядке статьи 49 Арбитражного процессуального кодекса Российской Федерации (далее – АПК РФ), к Шиману Владиславу Сергеевичу, Шиману Сергею Гавриловичу о привлечении к субсидиарной ответственности по обязательствам общества с ограниченной ответственностью «Окна Века» (далее – Общество) и взыскании 399 000 рублей убытков.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Омской области от 10.08.2023, оставленным без изменения постановлением Восьмого арбитражного апелляционного суда от 07.11.2023 и постановлением Арбитражного суда Западно-Сибирского округа от 25.01.2024,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2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25.01.2024, тогда как кассационная жалоба направлена почтовым отправлением в Верховный Суд Российской Федерации 05.04.2024,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«Окна Века». Срок подачи кассационной жалобы на решение Арбитражного суда Омской области от 10.08.2023, постановление Восьмого арбитражного апелляционного суда от 07.11.2023 и постановление Арбитражного суда Западно-Сибирского округа от 25.01.2024 по делу № А46-2021/2023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