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Парамоновой О.Г. в Арбитражный суд города Санкт-Петербурга и Ленинградской области обратился должник с заявлением о признании недействительными сделок по перечислению в период с января по август 2020 года денежных средств в пользу ТСЖ «Пушкинская 10» и применении последствий недействительности оспариваемых сделок. Определением Арбитражного суда города Санкт-Петербурга и Ленинградской области от 19.05.2023, оставленным без изменения постановлением Тринадцатого арбитражного апелляционного суда от 05.10.2023 и постановлением Арбитражного суда Северо-Западного округа от 31.01.2024, заявление должника возвращено. Парамонова О.Г.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должник не относится к числу лиц, которые в рамках дела о его банкротстве наделены правом на обращение в арбитражный суд с заявлением об оспаривании сделок должника, руководствуясь положениями статей 60, 61.1, 213.5, 213.32 Федерального закона от 26.10.2002 № 127-ФЗ «О несостоятельности (банкротстве)», суд первой инстанции возвратил заявление должника, с чем согласились суды апелляционной и кассационной инстанций.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