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Парамонова Е.В. в Арбитражный суд города Санкт-Петербурга и Ленинградской области обратился финансовый управляющий Яровой М.П. с заявлением об истребовании денежных средств и взыскании убытков, в котором он просил признать здание (автовесовое хозяйство) и самовольную постройку (двухэтажное офисное здание) совместным имуществом должника и Парамоновой Элины Вячеславовны, а также обязать финансового управляющего Парамоновой Э.В. – Федорова М.Ю. перечислить в конкурсную массу Парамонова Е.В. ½ денежных средств, вырученных от реализации указанных объектов недвижимости. Определением Арбитражного суда города Санкт-Петербурга и Ленинградской области от 14.12.2023 обособленный спор передан по подсудности в Санкт-Петербургский городской суд. Постановлением Тринадцатого арбитражного апелляционного суда от 31.01.2024 определение суда первой инстанции отменено, обособленный спор направлен на новое рассмотрение в Арбитражный суд города Санкт- Петербурга и Ленинградской области. Парамонов Е.В. обратился в Судебную коллегию Верховного Суда Российской Федерации с кассационной жалобой на постановление суда апелляционной инстанции,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 не установлено. Отменяя определение суда первой инстанции и направляя вопрос, разрешение которого относится к ведению суда первой инстанции, на новое рассмотрение в Арбитражный суд города Санкт-Петербурга и Ленинградской области, апелляционный суд действовал в пределах полномочий, предусмотренных статьями 268, 272 Арбитражного процессуального кодекса Российской Федерации, установив, что в данном случае заявленные требования подлежат рассмотрению в рамках дела о банкротстве согласно пункту 7 статьи 213.26 Федерального закона от 26.10.2002 № 127-ФЗ «О несостоятельности (банкротстве)». Доводы жалобы выводы суда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судебного акта в кассационном порядке. Нарушений или неправильного применения норм процессуального права, которые могли бы явиться основанием для изменения или отмены судебного акта или которые привели или могли привести к принятию неправильного судебного акта,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