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«Экоресурс» (далее – Общество) обратилось в Арбитражный суд города Санкт-Петербурга и Ленинградской области с иском к ФИО1 о взыскании 9 467 683 рублей 89 копеек убытков. Решением Арбитражного суда города Санкт-Петербурга и Ленинградской области от 16.05.2023, оставленным без изменения постановлением Тринадцатого арбитражного апелляционного суда от 07.09.2023 и постановлением Арбитражного суда Северо-Западного округа от 29.11.2023,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что размер перечисленной заработной платы соответствует условиями трудового договора; в представленной Обществом редакции ответчик трудовой договор не подписывал.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условиям трудового договора от 29.12.2016 № 1/1 за выполнение обязанностей генеральному директору Общества был установлен должностной оклад в размере 25 000 рублей. Между тем платежными поручениями от 06.06.2022 № 1801 и от 26.07.2022 № 4 со счета Общества на счет ФИО1 перечислено 2 916 339 рублей 35 копеек с назначением платежа «заработная плата за май 2022» и 144 000 рублей с назначением платежа «заработная плата за июнь 2022» соответственно. Кроме того, общество с ограниченной ответственностью «ВТБ Лизинг» (лизингодатель, Компания) и Общество (лизингополучатель) в лице генерального директора ФИО1 заключили договор лизинга транспортного средства от 11.09.2020 № 08663/2020/LC/014247, в соответствии с которым Общество приобрело в лизинг новый автомобиль BMWX6 XDRIVE 40I (VINX4XCY69420YG07927, год выпуска 2020, далее – автомобиль). Общая сумма лизинговых платежей составила 7 194 829 рублей 78 копеек. В дальнейшем Компания (продавец) и Общество (покупатель) в лице ФИО1 заключили договор купли-продажи от 23.03.2022 № 08663/2022/SC, в соответствии с которым автомобиль передан Обществу в собственность. В пункте 1.3 договора от 23.03.2022 № 08663/2022/SC указано, что автомобиль передается в собственность покупателя в связи с завершением договора лизинга от 11.09.2020 № 08663/2020/LC/014247. Далее Общество (продавец) лице генерального директора ФИО1 и ФИО2 (покупатель) заключили договор купли-продажи автомобиля от 28.03.2022, в соответствии с которым продавец передал в собственность покупателя автомобиль. В пункте 2.1 договора от 28.03.2022 сторонами определена стоимость автомобиля в размере 2 642 655 рублей, которые в силу пункта 2.2 договора уплачены в полном объеме. В октябре 2022 года после смены генерального директора Обществом было заказано проведение оценки рыночной стоимости автомобиля на дату его продажи ФИО2 Согласно выводам оценщика, изложенным в отчете об оценке от 10.10.2022 № 22/04/24, подготовленном обществом с ограниченной ответственностью «Первая оценочная компания», рыночная стоимость автомобиля по состоянию на 28.03.2022 с учетом состояния рынка и накопленного износа составляла 9 100 000 рублей. Ссылаясь на указанные обстоятельства,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Пунктом 1 статьи 53.1 Гражданского кодекса установлено, что лицо, которое в силу закона, иного правового акта или учредительного документа юридического лица уполномочено выступать от его имени,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Данное лицо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АПК РФ , руководствуясь названными выше положениями действующего законодательства, регулирующими спорные отношения, суды удовлетворили заявленные требования, придя к выводу о наличии необходимой совокупности условий для привлечения ответчика к гражданско-правовой ответственности в виде взыскания убытков, установив факты совершения ФИО1 действий по перечислению себе в качестве заработной платы денежных средств, сумма которых значительно превышала размер должностного оклада, а также факт приобретения дорогостоящего автомобиля при отсутствии соответствующей необходимости с его последующей продажей по заниженной цене.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"Экоресурс" (подробнее) Иные лица: ГУ Управление по вопросам миграции МВД России по г.Санкт-Петербургу и Ленинградской области (подробнее) ГУФФСП по г. СПб (ОСП по Центральному району)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