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20.06.2023, оставленным без изменения постановлением Двадцатого арбитражного апелляционного суда от 11.09.2023 и постановлением Арбитражного суда Центрального округа от 19.12.2023, завершена процедура реализации имущества ФИО1 и должник освобожден от дальнейшего исполнения обязательств, в том числе требований кредиторов, не заявленных при введении процедуры реализации имущества должника, за исключением обязательств перед АО «Газпромбанк» в лице филиала АО «Среднерусский», АО «Банк Русский Стандарт», ООО «Хоум Кредит энд Финанс Банк». ФИО1 обратился в Судебную коллегию Верховного Суда Российской Федерации с кассационной жалобой на принятые судебные акты в части неприменения правил об освобождении должника от исполнения обязательств перед кредиторами,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 – банками.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ГУ Отделение Пенсионного фонда Российской Федерации по Рязанской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