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03.04.2024 обратился в Верховный Суд Российской Федерации с кассационной жалобой, одновременно заявив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2 Рассмотрев ходатайство о восстановлении срока, судья Верховного Суда Российской Федерации не находит оснований для его удовлетворения. Как следует из обжалуемых судебных актов, заявитель был надлежащим образом извещен о начавшемся судебном процессе, а также о времени и месте судебного разбирательства в суде округа. Текст последнего обжалуемого судебного акта согласно данным Картотеки арбитражных дел своевременно размещен в сети Интернет и с этого момента был доступен для ознакомления и подготовки жалобы.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Нарушение порядка подачи первоначальной кассационной жалобы и последующее устранение такого нарушения не является уважительной причиной и не может служить самостоятельным основанием к восстановлению пропущенного процессуального срока. Надлежащая подача кассационной жалобы находится в компетенции заявителя, и зависит только от его волеизъявления. Произвольное восстановление процессуального срока на обжалование судебных актов нарушало бы принцип равноправия сторон, установленный статьей 8 Арбитражного процессуального кодекса Российской Федерации. Руководствуясь статьями 117, 2915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«Е.С.-Строй» о восстановлении пропущенного срока отказать, кассационную жалобу возвратить заявителю.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