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Тюменской области обратились ФИО3 и ФИО1 с заявлением о признании недействительными торгов по продаже имущества должника в форме публичного предложения и заключенных по их результатам договоров цессии. Определением Арбитражного суда Тюменской области от 30.06.2023, оставленным без изменения постановлением Восьмого арбитражного апелляционного суда от 03.10.2023 и постановлением Арбитражного суда Западно-Сибирского округа от 19.12.2023, в удовлетворении заявления отказано. ФИО1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положениями статей 110, 138 Федерального закона от 26.10.2002 № 127-ФЗ «О несостоятельности (банкротстве)», статьей 449 Гражданского кодекса Российской Федерации и исходили из отсутствия оснований для признания недействительными оспариваемых торгов и заключенных по их результатам договоров уступки прав требования (цессии), поскольку существенных нарушений порядка и процедуры проведения торгов по реализации имущества должника не установлено.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Администрация города Тобольска (подробнее) Межрайонная ИФНС №14 по Тюменской области (подробнее) ООО "СГС" (подробнее) ООО "СИБИРЬГАЗОЙЛ" (подробнее) САДОВОДЧЕСКОЕ НЕКОММЕРЧЕСКОЕ ТОВАРИЩЕСТВО "ЛИПОВЫЙ ОСТРОВ"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