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страховое акционерное общество «ВСК» (далее – истец) обратилось в Арбитражный суд Московской области с иском к Министерству имущественных отношений Московской области (далее – ответчик 1) о возмещении ущерба, причиненного пожаром, в размере 543 838 рублей 81 копейки. К участию в деле в качестве второго ответчика привлечено Министерство транспорта и дорожной инфраструктуры Московской области (далее – ответчик 2); в качестве третьих лиц, не заявляющих самостоятельные требования относительно предмета спора, привлечены общество с ограниченной ответственностью «Лаватера», акционерное общество «Стройтрансгаз», Государственное казенное учреждение Московской области «Дирекция дорожного строительства». 2 Решением Арбитражного суда Московской области от 28.02.2023, оставленным без изменения постановлением Девятого арбитражного апелляционного суда от 22.05.2023, истцу отказано в удовлетворении заявленных требований. Арбитражный суд Московского округа постановлением от 03.10.2023 оставил без изменения решение суда первой инстанции и постановление суда апелляционной инстанции. Истец обратился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 в суд первой инстанции. Письмом судьи Верховного Суда Российской Федерации от 02.02.2024 были истребованы материалы дела из Арбитражного суда Московской области.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установив все обстоятельства, имеющие существенное значение для рассмотрения дела, на основании полного и всестороннего исследования имеющихся в деле доказательств, которые были оценены в их совокупности и взаимосвязи, суды пришли к выводу о недоказанности истцом факта причинения ущерба действиями (бездействием) ответчиков, а также причинно-следственной связи между действиями (бездействием) ответчиков и возникшими убытками и отказали истцу в удовлетворении заявленных требований. Обжалуя судебные акты в Верховный Суд Российской Федерации, истец приводит доводы, которые являлись предметом рассмотрения судов и получили правовую оценку с учетом установленных фактических обстоятельств дела. Несогласие истца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3 свидетельствует о наличии оснований для пересмотра обжалуемых судебных актов в порядке кассационного производства. Доводы истца, изложенные в кассационной жалобе, направлены на переоценку представленных в материалы дела доказательств и фактических обстоятельств дела, установленных судами, и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