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Романько В.А. в Арбитражный суд города Москвы обратилась государственная корпорация по космической деятельности «Роскосмос» с заявлением о признании недействительным соглашения о разделе совместно нажитого имущества от 30.01.2012, заключенного между должником и Романько О.В. Определением Арбитражного суда города Москвы от 30.06.2023 в удовлетворении заявления отказано. Постановлением Девятого арбитражного апелляционного суда от 21.09.2023 определение суда первой инстанции отменено, заявление удовлетворено. Арбитражный суд Московского округа постановлением от 18.12.2023 оставил без изменения постановление суда апелляционной инстанции. Романько В.А.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апелляционной и кассационной инстанций руководствовались положениями статей 10 и 168 Гражданского кодекса Российской Федерации и исходили из того, что обстоятельства, свидетельствующие о наличии признаков злоупотребления правом, допущенных при заключении оспариваемой сделки, установлены ранее вынесенными судебными актами и подтверждены доказательствами, представленными по спору, признав не пропущенным срок исковой давности. Нарушений норм материального права и норм процессуального права, повлиявших на исход дела, которые могли бы явиться основанием для пересмотра судебных актов в кассационном порядке,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