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истец, заявитель) обратился в Арбитражный суд города Москвы с исковым заявлением к Департаменту городского имущества города Москвы (далее – Департамент, ответчик) об обязании заключить соглашение о предоставлении компенсационного жилого помещения по форме и условиям, установленным для граждан - правообладателей постановлением Правительства Москвы от 25.02.2014 № 77- ПП «О порядке взаимодействия органов исполнительной власти города Москвы при осуществлении мероприятий, направленных на обеспечение строительства объектов капитального строительства в рамках реализации адресной инвестиционной программы города Москвы». Определением Арбитражного суда города Москвы от 24.08.2023, оставленным без изменения постановлением Девятого арбитражного апелляционного суда от 27.10.2023, исковое заявление возвращено. Постановлением Арбитражного суда Московского округа от 18.12.2023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судами не учтено, что по условиям проекта договора в части порядка расчёта выкупной стоимости приобретаемой площади жилого помещения заявитель должен был заключить с Департаментом договор инвестирования; заявитель обратился в арбитражный суд города Москвы, руководствуясь подпунктом 5 части 2 статьей 33 , частью 1 статьи 38 Арбитражного процессуального кодекса Российской Федерации (далее – АПК РФ); дело рассмотрено в отсутствии заявителя; решение вопроса о компетенции, по общему принципу разграничения юрисдикционных полномочий судов, на стадии подачи (предъявления) искового заявления противоречит общепризнанным принципам правовой определённости, равенства всех субъектов права перед законом и судом, принципу доступа к суду и справедливого судебного разбирательства, а также принципу состязательности, равноправию сторон и гласности разбирательства дел.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исковое заявление на основании пункта 1 части 1 статьи 129 АПК РФ , суд первой инстанции руководствовался статьями 27 - 29 названного Кодекса, правовой позицией, изложенной в ответе на 4 вопрос Обзора судебной практики, утвержденного Президиумом Верховного Суда Российской Федерации от 24.12.2014 № 1 (2014), и исходил из того, что в настоящем случае спор не имеет экономического характера и не связан с осуществлением предпринимательской и иной экономической деятельности, а его субъектный состав, истцом в котором является гражданин, не являющийся индивидуальным предпринимателем, не позволяет отнести дело к компетенции арбитражных судов. Выводы суда первой инстанции поддержали суды апелляционной инстанции и округа. Суды указали, что по данному спору истец не обращался в суд общей юрисдикции с иском и, соответственно, суд общей юрисдикции не констатировал неподведомственность ему такого иска.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Департамент городского имущества города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