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25.03.2024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При этом в соответствии с частью 6 статьи 121 Арбитражного процессуального кодекса Российской Федерации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 На основании изложенного, оснований для удовлетворения ходатайства о восстановлении срока не имеется, в связи с чем кассационная жалоба подлежит возвращению заявителю на основании пункта 3 части 1 статьи 2915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Ответчики: к/у СПК "Новая жизнь"- Хмельницкая О.С. (подробнее) Сельскохозяйственный "Новая жизнь"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