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страховая компания «Сбербанк страхование» (далее – истец) обратилось в Арбитражный суд города Санкт-Петербурга и Ленинградской области с иском к администрации Красногвардейского района Санкт-Петербурга (далее – ответчик) о взыскании 97 390 рублей ущерба в порядке суброгации. Рассмотрев в порядке упрощенного производства заявление истца, Арбитражный суд города Санкт-Петербурга и Ленинградской области решением от 30.01.2023, принятым путем подписания его резолютивной части в соответствии с частью 1 статьи 229 Арбитражного процессуального кодекса Российской Федерации, удовлетворил требования истца. 2 По заявлению ответчика суд первой инстанции 20.02.2023 изготовил мотивированное решение по делу. Тринадцатый арбитражный апелляционный суд определением от 16.05.2023 перешел к рассмотрению дела по правилам, установленным для рассмотрения дела в суде первой инстанции. Постановлением Тринадцатого арбитражного апелляционного суда от 07.07.2023 решение суда первой инстанции отменено, требования истца удовлетворены. Арбитражный суд Северо-Западного округа постановлением от 05.10.2023 оставил без изменения постановление суда апелляционной инстанции. Ответчик обратился в Верховный Суд Российской Федерации с кассационной жалобой на постановления суда апелляционной инстанции и суда округа, в которой просит их отменить и принять новый судебный акт по делу об отказе истцу в удовлетворении заявленных требований. Письмом судьи Верховного Суда Российской Федерации от 29.01.2024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доказанности факта причинения ущерба, причинно-следственной связи между понесенными убытками и противоправными действиями (бездействием) ответчика, выразившимися в ненадлежащем исполнении своих обязанностей по 3 содержанию принадлежащего ему имущества и, соответственно, наличии оснований для возложения на него ответственности в виде возмещения ущерба.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ненадлежащим исполнением ответчиком своих обязанностей по содержанию принадлежащего ему имущества. При этом суды указали, что собственник жилого помещения, возместивший третьему лицу причиненный вред, не лишен права регрессного требования к лицу, причинившему вред, в порядке статьи 1081 Гражданского кодекса Российской Федерации.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ответчика,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