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Саратовской области обратилось ФГКУ «Росвоенипотека» с заявлением о включении в реестр требований кредиторов должника задолженности в размере 840 756 рублей 77 копеек, в том числе 695 338 рублей 09 копеек задолженности, состоящей из первоначального взноса по ипотечному кредиту и суммы, уплаченной кредитором в счет погашения обязательств по ипотечному кредиту, 145 418 рублей 68 копеек процентов за пользование целевым жилищным займом по ставке рефинансирования Центрального Банка Российской Федерации со дня увольнения должника с военной службы до даты введения реструктуризации долгов гражданина, как обеспеченной залогом имущества должника (квартиры), а также 137 352 рублей 13 копеек пени. Определением Арбитражного суда Саратовской области от 06.09.2022, оставленным без изменения постановлением Двенадцатого арбитражного апелляционного суда от 06.12.2022, требование ФГКУ «Росвоенипотека» признано обоснованным и включено в третью очередь реестра требований кредиторов должника, как обеспеченное залогом имущества должника; при этом погашение требования ФГКУ «Росвоенипотека» за счет средств, вырученных от реализации обеспечивающего это требование предмета залога, производится после удовлетворения требований АО «ДОМ.РФ», являющегося первоначальным залогодержателем; требование по взысканию пеней учитывается отдельно в реестре требований кредиторов должника и подлежит удовлетворению после погашения основной суммы задолженности и процентов. Арбитражный суд Поволжского округа постановлением от 27.02.2023 отменил принятые по спору судебные акты и направил обособленный спор на новое рассмотрение в Арбитражный суд Саратовской области. ФГКУ «Росвоенипотека»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дом.рф (подробнее) Иные лица: АО Газпромбанк (подробнее) Арбитражный суд Поволжского округа (подробнее) Арбитражный суд Саратовской области (подробнее) МРИ ФНС №20 по СО (подробнее) МУ МВД России "Энгельсское" СО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