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«Ситилинк-Магнитогорск» (далее - ООО «Ситилинк-Магнитогорск», Общество, истец) обратилось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«Горэлектросеть» (далее - АО «Горэлектросеть», Компания, ответчик) об урегулировании разногласий, возникших при заключении договора на совместное использование опор линий электропередач, принадлежащих Компании. Согласно редакции спорных положений договора, уточненной в порядке статьи 49 АПК РФ, Общество настаивало на принятии пункта 4.1 договора в следующей редакции: «стоимость предоставления права на размещение ЛС на 82 опорах ежемесячно составляет 380 руб. в месяц без учёта НДС. Стоимость за один подвес инженерной инфраструктуры для зоны поселков составляет 3 руб. 80 коп. в месяц без НДС». 2 Решением Арбитражного суда Челябинской области от 16.05.2023, оставленным без изменения постановлением Восемнадцатого арбитражного апелляционного суда от 29.08.2023, условия пункта 4.1 договора приняты в редакции, предложенной Обществом. Постановлением Арбитражного суда Уральского округа от 18.12.2023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неправильно квалифицировали гражданско-правовые отношения, возникшие между истцом и ответчиком, и ошибочно определили их как вид имущественных отношений арендатора и арендодателя; вследствие неправильной квалификации правоотношений суды ошибочно приняли за основу расчет экспертов; не учли, что при размещении и эксплуатации волоконно-оптической линии связи (ВОЛС) истцом не предоставлена проектная документация, учитывающая технические возможности воздушных линий электропередачи с учетом механических воздействий, что несет угрозу объектам электросетевого хозяйства и возлагает на ответчика дополнительные обязанности перед третьими лицами.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09.12.2019 Общество, являясь оператором связи и оказывая услуги телематической связи и передаче данных, направило в адрес Компании заявление о направлении в его адрес оферты на заключение договора на предоставление в пользование мест крепления ВОЛС на опорах линий электропередач ответчика. С письмом от 22.01.2020 № 06/0294 в адрес Общества направлен проект договора на совместное использование опор. Обществом 20.02.2020 в адрес Компании направлен протокол разногласий к проекту договора на совместное использование опор. От подписания направленного в ее адрес протокола согласования разногласий Компания отказалась письмом от 04.03.2020 № 7. 3 Так как стороны в досудебном порядке не пришли к соглашению по возникшим разногласиям относительно пункта 4.1 приложения № 1 к договору, касающегося стоимости предоставления права на размещение оборудования на опорах линий электропередач ответчика, истец обратился в суд с настоящим иском. В связи с наличием спора между сторонами относительно стоимости предоставления права на размещение оборудования суд первой инстанции определением от 31.03.2021 назначил по делу судебную экспертизу, по результатам которой в материалы дела приобщено экспертное заключение № 026-05-01598 от 20.09.2021.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в том числе заключение судебной экспертизы, руководствуясь статьями 11, 421-422, 434.1, 445-446 Гражданского кодекса Российской Федерации (далее – ГК РФ), Федеральным законом от 07.07.2003 № 126-ФЗ «О связи», Федеральным законом от 26.06.2006 № 135-ФЗ «О защите конкуренции», Федеральным законом от 05.10.2015 № 275-ФЗ «О внесении изменений в Федеральный закон «О защите конкуренции» и отдельные законодательные акты Российской Федерации»,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29.11.2014 № 1284,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22.11.2022 № 2106, разъяснениями, изложенными в постановлении Пленума Верховного Суда РФ от 25.12.2018 № 49 «О некоторых вопросах применения общих положений Гражданского кодекса Российской Федерации о заключении и толковании договора», урегулировали разногласия, возникшие между сторонами при заключении договора, приняв условия пункта 4.1 договора, в редакции, предложенной Обществом. При этом судебные инстанции исходили из того, что, устанавливая единый тариф для обслуживания опор, ответчик неоднократно включает разным субъектам в составе цены одни и те же затраты без определения доли в прибыли, получаемой от той или иной услуги; установленная ответчиком цена на услугу по размещению оборудования является экономически необоснованной. Судами учтено, что на спорных опорах размещено не только оборудование истца, но и оборудование иных пользователей, что подтверждается экспертным заключением и не оспаривается ответчиком; оборудование истца расположено в нижней части опоры, для проверки которого не требуется использование ни техники, ни дополнительного инструмента (когти). Размер ежемесячной платы установлен по результатам судебной экспертизы. 4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«Горэлектросеть»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