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«Российские железные дороги» обратилось в Арбитражный суд Калининградской области с иском, уточненным в порядке статьи 49 Арбитражного процессуального кодекса Российской Федерации, о взыскании с ООО «Управляющая компания «Балтик-Терра» 798 788 рублей 28 копеек задолженности и 22 322 рублей 30 копеек процентов за пользование чужими денежными средствами. Решением Арбитражного суда Калининградской области от 10.04.2023, оставленным без изменения постановлением Тринадцатого арбитражного апелляционного суда от 03.08.2023 и постановлением Арбитражного суда Северо-Западного округа от 18.12.2023, иск удовлетворен. ООО «Управляющая компания «Балтик-Терра»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309, 310 Гражданского кодекса Российской Федерации, положениями Федерального закона от 10.01.2003 № 18-ФЗ «Устав железнодорожного транспорта Российской Федерации» и, оценив представленные доказательства по правилам статьи 71 Арбитражного процессуального кодекса Российской Федерации, пришли к выводу об отсутствии оснований для освобождения ответчика от оплаты за сверхнормативное пользование вагонами.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