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«Сибирский транспортный терминал» обратилось в Арбитражный суд Новосибирской области с иском о взыскании с ООО «Транспортная компания «Кетис» 1 832 972 рублей ущерба, а также 100 000 рублей судебных расходов. ООО «ТК «Кетис» заявило встречный иск к ООО «СТТ» о взыскании 547 000 рублей задолженности по договорам-заявкам. Решением Арбитражного суда Новосибирской области от 21.05.2023, оставленным без изменения постановлением Седьмого арбитражного апелляционного суда от 07.09.2023 и постановлением Арбитражного суда Западно-Сибирского округа от 19.12.2023, первоначальный и встречный иски удовлетворены, а также взысканы судебные расходы; в результате зачета с ООО «ТК «Кетис» в пользу ООО «СТТ» взыскано 1 338 862 рубля. ООО «ТК «Кетис»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первоначального иска,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2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в том числе условия договора, установив, что груз поврежден в процессе транспортировки и был утилизирован в связи с невозможностью дальнейшей реализации, признав доказанным размер ущерба в заявленной сумме, уменьшив размер судебных расходов на оплату услуг представителя, руководствуясь положениями статей 421, 796, 801, 803 Гражданского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суды пришли к выводу об обоснованности первоначального иска.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