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ООО «Федеральная контейнерная компания» (экспедитор) обратилось в Арбитражный суд Свердловской области с иском о взыскании с ООО ТПК «Промышленные колеса и ролики» (клиента) 2000 долларов США и 313 577 рублей задолженности по оплате транспортно-экспедиционных услуг. ООО ТПК «Промышленные колеса и ролики» обратилось в суд с встречным иском о взыскании с ООО «Федеральная контейнерная компания» 153 655 рублей неосновательного обогащения и 244 081 рубля 42 копеек убытков. Решением Арбитражного суда Свердловской области от 26.06.2023, оставленным без изменения постановлением Семнадцатого арбитражного апелляционного суда от 04.09.2023 и постановлением Арбитражного суда Уральского округа от 19.12.2023, первоначальный и встречный иски удовлетворены частично; в результате зачета с ООО ТПК «Промышленные колеса и ролики» в пользу ООО «Федеральная контейнерная компания» взыскано 183 995 рублей и 2000 долларов США по курсу Центрального Банка 2 Российской Федерации на день оплаты основного долга, а также 8 118 рублей 56 копеек в возмещение расходов по уплате государственной пошлины. ООО ТПК «Промышленные колеса и ролики» обратилось в Судебную коллегию Верховного Суда Российской Федерации с кассационной жалобой на принятые по делу судебные акты,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Оценив представленные доказательства в их совокупности и взаимной связи, руководствуясь положениями статей 10, 15, 393, 431, 801, 803, 1102 Гражданского кодекса Российской Федерации, установив, что сторонами преимущественно не согласована стоимость оказываемых услуг, исходя из условий договора и прав экспедитора, суды признали обоснованными требования экспедитора о возмещении фактических расходов, а также пришли к выводу о наличии на стороне экспедитора неосновательного обогащения, не установив при этом оснований для взыскания с экспедитора в качестве неосновательного обогащения расходов как добор за транспортно- экспедиционные услуги по отправке контейнера и убытков, составляющих стоимость доставки до склада, ввиду того, что из условий поручений не следует, что экспедитор принял на себя обязательства по доставке груза на склад клиента.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