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оснований для передачи кассационной жалобы на рассмотрение в судебном заседании Судебной коллегии Верховного Суда Российской Федерации не имеется, ходатайство о приостановлении исполнения решения рассмотрению не подлежит (часть 5 статьи 2916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«Эверест»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