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Киселев А.И. обратился в Арбитражный суд Свердловской области с иском к АО «Экорус-Первоуральск» о взыскании 1 854 494 рублей задолженности, 71 258 рублей 30 копеек процентов, начисленных в порядке статьи 317.1 Гражданского кодекса Российской Федерации, с продолжением их начисления по день фактической уплаты долга, 6 478 рублей 03 копеек процентов за пользование чужими денежными средствами на основании статьи 395 Гражданского кодекса Российской Федерации, с продолжением их начисления по день фактической уплаты долга. Решением Арбитражного суда Свердловской области от 11.04.2023, оставленным без изменения постановлением Семнадцатого арбитражного апелляционного суда от 28.07.2023 и постановлением Арбитражного суда Уральского округа от 15.12.2023, в удовлетворении иска отказано. ИП Киселев А.И.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иска, суды исходили из недоказанности наличия у ответчика задолженности перед истцом и пропуска срока исковой давности по заявленным требованиям, о применении которой заявлено ответчиком, квалифицировав сложившиеся между сторонами отношения, как возникшие из договора перевозки грузов, урегулированные главой 40 Гражданского кодекса Российской Федерации.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