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Федерации, ходатайство о приостановлении исполнения судебных актов остается без рассмотрения. Руководствуясь статьями 2916, 2918 Арбитражного процессуального 2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«Техноэко»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