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с кассационной жалобой, одновременно заявив ходатайство о приостановлении исполнения решения Арбитражного суда города Москвы от 13.04.2023. В соответствии с частью 3 статьи 2916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Приведенные заявителем доводы носят предположительный характер и не подтверждают того, что испрашиваемая мера направлена на обеспечение баланса взаимных прав и обязанностей сторон. Учитывая необоснование заявителем необходимости приостановления исполнения судебных актов и неустановление судом требуемых частью 3 статьи 2916 Арбитражного процессуального кодекса Российской Федерации для него условий, суд отказывает в приостановлении исполнения. Руководствуясь статьями 184 , 2916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«Научно-исследовательский и проектный институт гражданского строительства, благоустройства и городского дизайна «Моспроект-3» в приостановлении исполнения решения Арбитражного суда города Москвы от 13.04.2023 по делу № А40-301647/2022. Судья Верховного Суда Российской Федерации А.Г.Першутов Суд: Верховный Суд РФ (подробнее) Истцы: ЗАО "ГСП-ТРЕЙД" (подробнее) Ответчики: АО "НАУЧНО-ИССЛЕДОВАТЕЛЬСКИЙ И ПРОЕКТНЫЙ ИНСТИТУТ ГРАЖДАНСКОГО СТРОИТЕЛЬСТВА, БЛАГОУСТРОЙСТВА И ГОРОДСКОГО ДИЗАЙНА "МОСПРОЕКТ-3"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