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«Российский Сельскохозяйственный банк» обратилось в Арбитражный суд Ростовской области с жалобой на действия (бездействие) финансового управляющего Юшковой Е.Г., ссылаясь на то, что управляющий передал залоговое имущество - нежилые помещения и земельный участок в аренду без согласия залогового кредитора, а также не принял меры по пополнению конкурсной массы от использования предмета залога, и просило отстранить Юшкову Е.Г. от исполнения обязанностей финансового управляющего имуществом должника. Определением Арбитражного суда Ростовской области от 03.07.2023 признано незаконным бездействие управляющего, выразившееся в непринятии мер по пополнению конкурсной массы от использования предмета залога, в остальной части в удовлетворении жалобы отказано. Определением от 22.08.2023 суд апелляционной инстанции перешел к рассмотрению дела по правилам, установленным для рассмотрения дела в арбитражном суде первой инстанции, и привлек к участию в обособленном споре страховую компанию. 2 Постановлением Пятнадцатого арбитражного апелляционного суда от 21.09.2023 определение суда первой инстанции отменено, признано незаконным бездействие финансового управляющего, выразившееся в непринятии мер по пополнению конкурсной массы от использования предмета залога, в остальной части в удовлетворении жалобы отказано. Арбитражный суд Северо-Кавказского округа постановлением от 14.12.2023 постановление суда апелляционной инстанции оставил без изменения. Арбитражный управляющий Юшкова Е.Г.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удовлетворения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признавая жалобу обоснованной в части, суды, руководствуясь статьями 20.3, 60, 213.9, 213.25 Федерального закона от 26.10.2002 № 127-ФЗ «О несостоятельности (банкротстве)», установив факт использования третьими лицами принадлежащего должнику имущества, в отсутствие согласованных с залоговым кредитором договоров аренды и без поступления платы за пользование предметом залога в конкурсную массу должника, непринятие финансовым управляющим надлежащих мер по контролю за состоянием имущества должника, пришли к выводу о незаконном бездействии финансового управляющего. Доводы, изложенные в кассационной жалобе,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