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«Фармасинтез» обратилось в Арбитражный суд Иркутской области с иском, уточненным в порядке статьи 49 Арбитражного процессуального кодекса Российской Федерации, о взыскании с ООО «Ван Групп» 953 151 рубля 64 копеек убытков. Решением Арбитражного суда Иркутской области от 31.05.2023 в удовлетворении иска отказано. Постановлением Четвертого арбитражного апелляционного суда от 22.08.2023 решение суда первой инстанции изменено, иск удовлетворен в части взыскания 764 743 рублей 34 копеек убытков, в удовлетворении иска в остальной части отказано. Арбитражный суд Восточно-Сибирского округа постановлением от 13.12.2023 постановление суда апелляционной инстанции оставил без изменения. ООО «Ван Групп»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невозможность получения истцом груза со склада временного хранения ввиду бездействия ответчика (грузополучателя), своевременно не обеспечившего истца документами, руководствуясь положениями статей 15, 393, 803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пришел к выводу об обоснованности заявленного иска с учетом понесенных истцом дополнительных расходов. Суд округа поддержал выводы суда апелляционной инстанции. Доводы, изложенные в кассационной жалобе, были предметом рассмотрения судов апелляционной и кассационной инстанций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