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Матвеева М.В. обратилась в Арбитражный суд Владимирской области с иском о взыскании с ИП Хромова Сергея Викторовича 574 320 рублей неосновательного обогащения, возникшего вследствие неоплаты оказанных услуг по перевозке грузов, 32 767 рублей 70 копеек процентов за пользование чужими денежными средствами, с последующим их начислением по день фактической уплаты долга. Определением Арбитражного суда Владимировской области от 10.05.2023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2-902/2023 Ковровского городского суда Владимирской области. Постановлением Первого арбитражного апелляционного суда от 02.10.2023 определение суда первой инстанции оставлено без изменения. Арбитражный суд Волго-Вятского округа постановлением от 11.12.2023 указанные судебные акты оставил без изменения. ИП Матвеева М.В. обратилась в Судебную коллегию по экономическим спорам Верховного Суда Российской Федерации с кассационной жалобой на 2 принятые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Приостанавливая производство по делу, суды руководствовались статьями 143, 145 Арбитражного процессуального кодекса Российской Федерации и исходили из невозможности рассмотрения настоящего дела до рассмотрения другого дела, рассматриваемого судом общей юрисдикции.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