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Рябкова Евгения Александровича в Арбитражный суд Ставропольского края обратился финансовый управляющий имуществом должника с заявлением о признании недействительным договора купли-продажи транспортного средства от 19.10.2019, заключенного должником и Яблочкиной Т.В., и применении последствий недействительности сделки в виде взыскания денежных средств в размере 900 000 рублей в конкурсную массу должника. Определением Арбитражного суда Ставропольского края от 12.07.2023, оставленным без изменения постановлением Шестнадцатого арбитражного апелляционного суда от 20.09.2023 и постановлением Арбитражного суда Северо-Кавказского округа от 13.12.2023, в удовлетворении заявления отказано. Дохненко В.В.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оспариваемая сделка по отчуждению автомобиля произведена не за счет имущества должника и не повлекла за собой уменьшение конкурсной массы должника с целью причинения вреда имущественным правам его кредиторов, заключенные сторонами сделки по перепродаже транспортного средства в целях приобретения номерного агрегата сами по себе не противоречат действующему законодательству, суды пришли в выводу об отсутствии оснований для признания сделки недействительной.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