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Принимая во внимание обстоятельства пропуска срока на подачу кассационной жалобы, судья находит подлежащим удовлетворению заявленное ходатайство.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восстановить.Судья Г.Г. Кирейкова Суд: Верховный Суд РФ (подробнее) Истцы: АО "Барнаульская Горэлектросеть". (подробнее) МИФНС России №15 по Алтайскому краю (подробнее) ОАО "Уральский банк реконструкции и развития" (подробнее) ООО "Алтайагростройкомплект" (подробнее) ООО "Барнальский Водоканал" (подробнее) ООО "Прогэйт" (подробнее) ООО "Продко" (подробнее) ООО "Эос" (подробнее) ПАО "Азиатско-Тихоокеанский Банк" (подробнее) ПАО "Совкомбанк" (подробнее) Иные лица: Ассоциация арбитражных управляющих "Солидарность" (подробнее) Управление Росреестра по АК (подробнее) Судьи дела: Кирейкова Г.Г.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