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своей несостоятельности (банкротстве) должник обратился в арбитражный суд с требованием, уточненным в порядке статьи 49 Арбитражного процессуального кодекса Российской Федерации, об исключении из конкурсной массы ежемесячно страховой пенсии по старости, денежных средств в размере компенсации по решению ЕСПЧ, единственного жилья должника - трехкомнатной квартиры и земельного участка. Определением Арбитражного суда Красноярского края от 04.08.2023, оставленным без изменения постановлением Третьего арбитражного апелляционного суда от 26.10.2023 и постановлением Арбитражного суда Восточно-Сибирского округа от 11.01.2024, заявление удовлетворено частично, исключены из конкурсной массы должника: ежемесячно с 26.07.2022 денежные средства в размере 7 000 рублей на расходы, связанные с приобретением лекарственных препаратов; ежемесячно с 19.07.2023 денежные средства в размере 3 200 рублей на расходы, связанные с приобретением дров; денежные средства в размере 375 690 рублей компенсации по решению Европейского Суда по правам человека; в удовлетворении заявления в остальной части отказано. Сметанин О.А. обратился в Судебную коллегию Верховного Суда Российской Федерации с кассационной жалобой на принятые по спору 2 судебные акты в части отказа в удовлетворении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 и отказывая в предоставлении исполнительского иммунитета, суды руководствовались положениями части 1 статьи 6 Федерального конституционного закона от 31.12.1996 № 1-ФКЗ «О судебной системе Российской Федерации» и исходили из наличия вступившего в законную силу приговора суда, в соответствии с которым арестованное имущество, в том числе и спорные объекты недвижимости, подлежит обращению в счет погашения гражданского иска ПАО «НК Роснефть».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