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Дорохина Д.В. определением Арбитражного суда города Москвы от 23.08.2023, оставленным без изменения постановлением Девятого арбитражного апелляционного суда от 25.10.2023 и постановлением Арбитражного суда Московского округа от 20.12.2023, отказано в удовлетворении заявления должника об исключении из конкурсной массы земельного участка, нежилого здания и жилого дома. Дорохин Д.В.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2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об исключении спорных объектов недвижимости из конкурсной массы должника, суды руководствовались статьями 213.25, 213.26 Федерального закона от 26.10.2002 № 127-ФЗ «О несостоятельности (банкротстве)», статьей 446 Гражданского процессуального кодекса Российской Федерации, и исходили из того, что целью обращения должника с заявлением явилось недопущение реализации в рамках дела о банкротстве ликвидного имущества для погашения требований кредиторов.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