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умершего гражданина Сухомлинова В.М. в Арбитражный суд Ростовской области обратился Поздняков А.В. с заявлением о включении 1 695 500 рублей в реестр требований кредиторов должника, как обеспеченного залогом имущества должника. Определением Арбитражного суда Ростовской области от 15.06.2023 в удовлетворении заявления отказано. Постановлением Пятнадцатого арбитражного апелляционного суда от 07.09.2023 определение суда первой инстанции отменено, требование кредитора в заявленном размере включено в третью очередь реестра требований кредиторов должника; в части признания требования обеспеченным залогом имущества должника отказано. Арбитражный суд Северо-Кавказского округа постановлением от 26.12.2023 отменил постановление суда апелляционной инстанции и оставил в силе определение суда первой инстанции. Поздняков А.В. обратился в Судебную коллегию Верховного Суда Российской Федерации с кассационной жалобой на принятое по спору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Отказывая в удовлетворении заявления о включении требования в реестр требований кредиторов должника, суд первой инстанции руководствовался положениями статей 195, 199, 200 Гражданского кодекса Российской Федерации и исходил из пропуска срока исковой давности, о применении которого заявлено стороной спора. Окружной суд согласился с выводом суда первой инстанции.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